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DD" w:rsidRPr="00D938DD" w:rsidRDefault="00D938DD">
      <w:pPr>
        <w:rPr>
          <w:b/>
          <w:sz w:val="36"/>
        </w:rPr>
      </w:pPr>
      <w:r w:rsidRPr="00D938DD">
        <w:rPr>
          <w:b/>
          <w:sz w:val="36"/>
        </w:rPr>
        <w:t>LITTERÆRE METODER</w:t>
      </w:r>
      <w:bookmarkStart w:id="0" w:name="_GoBack"/>
      <w:bookmarkEnd w:id="0"/>
    </w:p>
    <w:tbl>
      <w:tblPr>
        <w:tblW w:w="909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939"/>
        <w:gridCol w:w="6151"/>
      </w:tblGrid>
      <w:tr w:rsidR="00D938DD" w:rsidRPr="00D938DD" w:rsidTr="00D938DD">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938DD" w:rsidRPr="00D938DD" w:rsidRDefault="00D938DD" w:rsidP="00D938DD">
            <w:pPr>
              <w:spacing w:after="240" w:line="240" w:lineRule="auto"/>
              <w:jc w:val="center"/>
              <w:rPr>
                <w:rFonts w:ascii="Arial" w:eastAsia="Times New Roman" w:hAnsi="Arial" w:cs="Arial"/>
                <w:b/>
                <w:sz w:val="32"/>
                <w:szCs w:val="20"/>
                <w:lang w:eastAsia="da-DK"/>
              </w:rPr>
            </w:pPr>
            <w:r w:rsidRPr="00D938DD">
              <w:rPr>
                <w:rFonts w:ascii="Arial" w:eastAsia="Times New Roman" w:hAnsi="Arial" w:cs="Arial"/>
                <w:b/>
                <w:sz w:val="32"/>
                <w:szCs w:val="20"/>
                <w:lang w:eastAsia="da-DK"/>
              </w:rPr>
              <w:t xml:space="preserve">Nykritisk </w:t>
            </w:r>
            <w:r>
              <w:rPr>
                <w:rFonts w:ascii="Arial" w:eastAsia="Times New Roman" w:hAnsi="Arial" w:cs="Arial"/>
                <w:b/>
                <w:sz w:val="32"/>
                <w:szCs w:val="20"/>
                <w:lang w:eastAsia="da-DK"/>
              </w:rPr>
              <w:br/>
            </w:r>
            <w:r w:rsidRPr="00D938DD">
              <w:rPr>
                <w:rFonts w:ascii="Arial" w:eastAsia="Times New Roman" w:hAnsi="Arial" w:cs="Arial"/>
                <w:b/>
                <w:sz w:val="32"/>
                <w:szCs w:val="20"/>
                <w:lang w:eastAsia="da-DK"/>
              </w:rPr>
              <w:t>læsning</w:t>
            </w:r>
          </w:p>
        </w:tc>
        <w:tc>
          <w:tcPr>
            <w:tcW w:w="6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938DD" w:rsidRPr="00D938DD" w:rsidRDefault="00D938DD" w:rsidP="00D938DD">
            <w:pPr>
              <w:spacing w:after="240" w:line="240" w:lineRule="auto"/>
              <w:rPr>
                <w:rFonts w:ascii="Arial" w:eastAsia="Times New Roman" w:hAnsi="Arial" w:cs="Arial"/>
                <w:sz w:val="20"/>
                <w:szCs w:val="20"/>
                <w:lang w:eastAsia="da-DK"/>
              </w:rPr>
            </w:pPr>
            <w:r w:rsidRPr="00D938DD">
              <w:rPr>
                <w:rFonts w:ascii="Arial" w:eastAsia="Times New Roman" w:hAnsi="Arial" w:cs="Arial"/>
                <w:sz w:val="20"/>
                <w:szCs w:val="20"/>
                <w:lang w:eastAsia="da-DK"/>
              </w:rPr>
              <w:t>Fokus på det litterære værk som autonomt. Digteren selv er uinteressant, og nykritisk metode tager derfor afsæt i grundig nærlæsning af teksten selv. </w:t>
            </w:r>
            <w:r w:rsidRPr="00D938DD">
              <w:rPr>
                <w:rFonts w:ascii="Arial" w:eastAsia="Times New Roman" w:hAnsi="Arial" w:cs="Arial"/>
                <w:sz w:val="20"/>
                <w:szCs w:val="20"/>
                <w:lang w:eastAsia="da-DK"/>
              </w:rPr>
              <w:br/>
              <w:t>Centrale er fx analytiske elementer som: </w:t>
            </w:r>
            <w:r w:rsidRPr="00D938DD">
              <w:rPr>
                <w:rFonts w:ascii="Arial" w:eastAsia="Times New Roman" w:hAnsi="Arial" w:cs="Arial"/>
                <w:sz w:val="20"/>
                <w:szCs w:val="20"/>
                <w:lang w:eastAsia="da-DK"/>
              </w:rPr>
              <w:br/>
              <w:t>- stilistiske træk, fx syntax</w:t>
            </w:r>
            <w:r w:rsidRPr="00D938DD">
              <w:rPr>
                <w:rFonts w:ascii="Arial" w:eastAsia="Times New Roman" w:hAnsi="Arial" w:cs="Arial"/>
                <w:sz w:val="20"/>
                <w:szCs w:val="20"/>
                <w:lang w:eastAsia="da-DK"/>
              </w:rPr>
              <w:br/>
              <w:t>- fortæller, miljø</w:t>
            </w:r>
            <w:r w:rsidRPr="00D938DD">
              <w:rPr>
                <w:rFonts w:ascii="Arial" w:eastAsia="Times New Roman" w:hAnsi="Arial" w:cs="Arial"/>
                <w:sz w:val="20"/>
                <w:szCs w:val="20"/>
                <w:lang w:eastAsia="da-DK"/>
              </w:rPr>
              <w:br/>
              <w:t>- motiv, tema</w:t>
            </w:r>
            <w:r w:rsidRPr="00D938DD">
              <w:rPr>
                <w:rFonts w:ascii="Arial" w:eastAsia="Times New Roman" w:hAnsi="Arial" w:cs="Arial"/>
                <w:sz w:val="20"/>
                <w:szCs w:val="20"/>
                <w:lang w:eastAsia="da-DK"/>
              </w:rPr>
              <w:br/>
              <w:t>- personkarakteristik</w:t>
            </w:r>
            <w:r w:rsidRPr="00D938DD">
              <w:rPr>
                <w:rFonts w:ascii="Arial" w:eastAsia="Times New Roman" w:hAnsi="Arial" w:cs="Arial"/>
                <w:sz w:val="20"/>
                <w:szCs w:val="20"/>
                <w:lang w:eastAsia="da-DK"/>
              </w:rPr>
              <w:br/>
              <w:t>- menneskesyn, tekst</w:t>
            </w:r>
            <w:r>
              <w:rPr>
                <w:rFonts w:ascii="Arial" w:eastAsia="Times New Roman" w:hAnsi="Arial" w:cs="Arial"/>
                <w:sz w:val="20"/>
                <w:szCs w:val="20"/>
                <w:lang w:eastAsia="da-DK"/>
              </w:rPr>
              <w:t>ens holdning</w:t>
            </w:r>
            <w:r>
              <w:rPr>
                <w:rFonts w:ascii="Arial" w:eastAsia="Times New Roman" w:hAnsi="Arial" w:cs="Arial"/>
                <w:sz w:val="20"/>
                <w:szCs w:val="20"/>
                <w:lang w:eastAsia="da-DK"/>
              </w:rPr>
              <w:br/>
              <w:t>- tekstens udsagn </w:t>
            </w:r>
          </w:p>
        </w:tc>
      </w:tr>
      <w:tr w:rsidR="00D938DD" w:rsidRPr="00D938DD" w:rsidTr="00D938DD">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938DD" w:rsidRPr="00D938DD" w:rsidRDefault="00D938DD" w:rsidP="00D938DD">
            <w:pPr>
              <w:spacing w:after="240" w:line="240" w:lineRule="auto"/>
              <w:jc w:val="center"/>
              <w:rPr>
                <w:rFonts w:ascii="Arial" w:eastAsia="Times New Roman" w:hAnsi="Arial" w:cs="Arial"/>
                <w:b/>
                <w:sz w:val="32"/>
                <w:szCs w:val="20"/>
                <w:lang w:eastAsia="da-DK"/>
              </w:rPr>
            </w:pPr>
            <w:hyperlink r:id="rId4" w:history="1">
              <w:r w:rsidRPr="00D938DD">
                <w:rPr>
                  <w:rFonts w:ascii="Arial" w:eastAsia="Times New Roman" w:hAnsi="Arial" w:cs="Arial"/>
                  <w:b/>
                  <w:bCs/>
                  <w:sz w:val="32"/>
                  <w:szCs w:val="20"/>
                  <w:lang w:eastAsia="da-DK"/>
                </w:rPr>
                <w:t>Psykoanalytisk læsning</w:t>
              </w:r>
            </w:hyperlink>
          </w:p>
        </w:tc>
        <w:tc>
          <w:tcPr>
            <w:tcW w:w="6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938DD" w:rsidRPr="00D938DD" w:rsidRDefault="00D938DD" w:rsidP="00D938DD">
            <w:pPr>
              <w:spacing w:after="240" w:line="240" w:lineRule="auto"/>
              <w:rPr>
                <w:rFonts w:ascii="Arial" w:eastAsia="Times New Roman" w:hAnsi="Arial" w:cs="Arial"/>
                <w:sz w:val="20"/>
                <w:szCs w:val="20"/>
                <w:lang w:eastAsia="da-DK"/>
              </w:rPr>
            </w:pPr>
            <w:r w:rsidRPr="00D938DD">
              <w:rPr>
                <w:rFonts w:ascii="Arial" w:eastAsia="Times New Roman" w:hAnsi="Arial" w:cs="Arial"/>
                <w:sz w:val="20"/>
                <w:szCs w:val="20"/>
                <w:lang w:eastAsia="da-DK"/>
              </w:rPr>
              <w:t>Som navnet angiver, tager metoden afsæt i </w:t>
            </w:r>
            <w:hyperlink r:id="rId5" w:history="1">
              <w:r w:rsidRPr="00D938DD">
                <w:rPr>
                  <w:rFonts w:ascii="Arial" w:eastAsia="Times New Roman" w:hAnsi="Arial" w:cs="Arial"/>
                  <w:b/>
                  <w:bCs/>
                  <w:sz w:val="20"/>
                  <w:szCs w:val="20"/>
                  <w:lang w:eastAsia="da-DK"/>
                </w:rPr>
                <w:t>psykoanalysen</w:t>
              </w:r>
            </w:hyperlink>
            <w:r w:rsidRPr="00D938DD">
              <w:rPr>
                <w:rFonts w:ascii="Arial" w:eastAsia="Times New Roman" w:hAnsi="Arial" w:cs="Arial"/>
                <w:sz w:val="20"/>
                <w:szCs w:val="20"/>
                <w:lang w:eastAsia="da-DK"/>
              </w:rPr>
              <w:t>, hvor man overfører Freuds grundlæggende begrebsapparat (det ubevidste, drømmen, ødipuskomplekset osv.) til analysen af tekster. Hvis mennesket - som hos Freud - er styret af sine drifter, kan analysen dykke ned i at bevidstgøre læseren om, hvor det ubevidste skriver med i den kreative proces, som kunst er. </w:t>
            </w:r>
            <w:r w:rsidRPr="00D938DD">
              <w:rPr>
                <w:rFonts w:ascii="Arial" w:eastAsia="Times New Roman" w:hAnsi="Arial" w:cs="Arial"/>
                <w:sz w:val="20"/>
                <w:szCs w:val="20"/>
                <w:lang w:eastAsia="da-DK"/>
              </w:rPr>
              <w:br/>
              <w:t>Sml. Sigmund Freud (1858-1939) og C.G. Jung (1875-1961)</w:t>
            </w:r>
            <w:r w:rsidRPr="00D938DD">
              <w:rPr>
                <w:rFonts w:ascii="Arial" w:eastAsia="Times New Roman" w:hAnsi="Arial" w:cs="Arial"/>
                <w:sz w:val="20"/>
                <w:szCs w:val="20"/>
                <w:lang w:eastAsia="da-DK"/>
              </w:rPr>
              <w:br/>
            </w:r>
          </w:p>
        </w:tc>
      </w:tr>
      <w:tr w:rsidR="00D938DD" w:rsidRPr="00D938DD" w:rsidTr="00D938DD">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938DD" w:rsidRPr="00D938DD" w:rsidRDefault="00D938DD" w:rsidP="00D938DD">
            <w:pPr>
              <w:spacing w:after="240" w:line="240" w:lineRule="auto"/>
              <w:jc w:val="center"/>
              <w:rPr>
                <w:rFonts w:ascii="Arial" w:eastAsia="Times New Roman" w:hAnsi="Arial" w:cs="Arial"/>
                <w:b/>
                <w:sz w:val="32"/>
                <w:szCs w:val="20"/>
                <w:lang w:eastAsia="da-DK"/>
              </w:rPr>
            </w:pPr>
            <w:r w:rsidRPr="00D938DD">
              <w:rPr>
                <w:rFonts w:ascii="Arial" w:eastAsia="Times New Roman" w:hAnsi="Arial" w:cs="Arial"/>
                <w:b/>
                <w:sz w:val="32"/>
                <w:szCs w:val="20"/>
                <w:lang w:eastAsia="da-DK"/>
              </w:rPr>
              <w:t>Biografisk læsning</w:t>
            </w:r>
          </w:p>
        </w:tc>
        <w:tc>
          <w:tcPr>
            <w:tcW w:w="6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938DD" w:rsidRPr="00D938DD" w:rsidRDefault="00D938DD" w:rsidP="00D938DD">
            <w:pPr>
              <w:spacing w:after="240" w:line="240" w:lineRule="auto"/>
              <w:rPr>
                <w:rFonts w:ascii="Arial" w:eastAsia="Times New Roman" w:hAnsi="Arial" w:cs="Arial"/>
                <w:sz w:val="20"/>
                <w:szCs w:val="20"/>
                <w:lang w:eastAsia="da-DK"/>
              </w:rPr>
            </w:pPr>
            <w:r w:rsidRPr="00D938DD">
              <w:rPr>
                <w:rFonts w:ascii="Arial" w:eastAsia="Times New Roman" w:hAnsi="Arial" w:cs="Arial"/>
                <w:sz w:val="20"/>
                <w:szCs w:val="20"/>
                <w:lang w:eastAsia="da-DK"/>
              </w:rPr>
              <w:t>Fokus på forfatterens liv og værk som en helhed ud fra: </w:t>
            </w:r>
            <w:r w:rsidRPr="00D938DD">
              <w:rPr>
                <w:rFonts w:ascii="Arial" w:eastAsia="Times New Roman" w:hAnsi="Arial" w:cs="Arial"/>
                <w:sz w:val="20"/>
                <w:szCs w:val="20"/>
                <w:lang w:eastAsia="da-DK"/>
              </w:rPr>
              <w:br/>
              <w:t>1. Portrætterende spor:</w:t>
            </w:r>
            <w:r w:rsidRPr="00D938DD">
              <w:rPr>
                <w:rFonts w:ascii="Arial" w:eastAsia="Times New Roman" w:hAnsi="Arial" w:cs="Arial"/>
                <w:sz w:val="20"/>
                <w:szCs w:val="20"/>
                <w:lang w:eastAsia="da-DK"/>
              </w:rPr>
              <w:br/>
              <w:t>Gennem en karakteristik af forfatteren som personlighed til en større forståelse af tekstens spor.</w:t>
            </w:r>
            <w:r w:rsidRPr="00D938DD">
              <w:rPr>
                <w:rFonts w:ascii="Arial" w:eastAsia="Times New Roman" w:hAnsi="Arial" w:cs="Arial"/>
                <w:sz w:val="20"/>
                <w:szCs w:val="20"/>
                <w:lang w:eastAsia="da-DK"/>
              </w:rPr>
              <w:br/>
              <w:t>2. Genetiske spor (Genese: oprindelse, tilblivelse):</w:t>
            </w:r>
            <w:r w:rsidRPr="00D938DD">
              <w:rPr>
                <w:rFonts w:ascii="Arial" w:eastAsia="Times New Roman" w:hAnsi="Arial" w:cs="Arial"/>
                <w:sz w:val="20"/>
                <w:szCs w:val="20"/>
                <w:lang w:eastAsia="da-DK"/>
              </w:rPr>
              <w:br/>
              <w:t>At kaste lys over værkets tilblivelse ved at sammenligne med forfatterens liv.</w:t>
            </w:r>
            <w:r w:rsidRPr="00D938DD">
              <w:rPr>
                <w:rFonts w:ascii="Arial" w:eastAsia="Times New Roman" w:hAnsi="Arial" w:cs="Arial"/>
                <w:sz w:val="20"/>
                <w:szCs w:val="20"/>
                <w:lang w:eastAsia="da-DK"/>
              </w:rPr>
              <w:br/>
              <w:t>Historisk set er biografisk metode ru</w:t>
            </w:r>
            <w:r>
              <w:rPr>
                <w:rFonts w:ascii="Arial" w:eastAsia="Times New Roman" w:hAnsi="Arial" w:cs="Arial"/>
                <w:sz w:val="20"/>
                <w:szCs w:val="20"/>
                <w:lang w:eastAsia="da-DK"/>
              </w:rPr>
              <w:t>ndet af det borgerlige samfund.</w:t>
            </w:r>
          </w:p>
        </w:tc>
      </w:tr>
      <w:tr w:rsidR="00D938DD" w:rsidRPr="00D938DD" w:rsidTr="00D938DD">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938DD" w:rsidRPr="00D938DD" w:rsidRDefault="00D938DD" w:rsidP="00D938DD">
            <w:pPr>
              <w:spacing w:after="240" w:line="240" w:lineRule="auto"/>
              <w:jc w:val="center"/>
              <w:rPr>
                <w:rFonts w:ascii="Arial" w:eastAsia="Times New Roman" w:hAnsi="Arial" w:cs="Arial"/>
                <w:b/>
                <w:sz w:val="32"/>
                <w:szCs w:val="20"/>
                <w:lang w:eastAsia="da-DK"/>
              </w:rPr>
            </w:pPr>
            <w:r w:rsidRPr="00D938DD">
              <w:rPr>
                <w:rFonts w:ascii="Arial" w:eastAsia="Times New Roman" w:hAnsi="Arial" w:cs="Arial"/>
                <w:b/>
                <w:sz w:val="32"/>
                <w:szCs w:val="20"/>
                <w:lang w:eastAsia="da-DK"/>
              </w:rPr>
              <w:t>Strukturalistisk læsning</w:t>
            </w:r>
          </w:p>
        </w:tc>
        <w:tc>
          <w:tcPr>
            <w:tcW w:w="6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938DD" w:rsidRPr="00D938DD" w:rsidRDefault="00D938DD" w:rsidP="00D938DD">
            <w:pPr>
              <w:spacing w:after="240" w:line="240" w:lineRule="auto"/>
              <w:rPr>
                <w:rFonts w:ascii="Arial" w:eastAsia="Times New Roman" w:hAnsi="Arial" w:cs="Arial"/>
                <w:sz w:val="20"/>
                <w:szCs w:val="20"/>
                <w:lang w:eastAsia="da-DK"/>
              </w:rPr>
            </w:pPr>
            <w:r w:rsidRPr="00D938DD">
              <w:rPr>
                <w:rFonts w:ascii="Arial" w:eastAsia="Times New Roman" w:hAnsi="Arial" w:cs="Arial"/>
                <w:sz w:val="20"/>
                <w:szCs w:val="20"/>
                <w:lang w:eastAsia="da-DK"/>
              </w:rPr>
              <w:t>Fokus på teksten som struktur og sprog.</w:t>
            </w:r>
            <w:r w:rsidRPr="00D938DD">
              <w:rPr>
                <w:rFonts w:ascii="Arial" w:eastAsia="Times New Roman" w:hAnsi="Arial" w:cs="Arial"/>
                <w:sz w:val="20"/>
                <w:szCs w:val="20"/>
                <w:lang w:eastAsia="da-DK"/>
              </w:rPr>
              <w:br/>
              <w:t>En strukturel analyse tager afsæt i tekstens modsætningspar, deres gentagelser og variationer og sigter på at forstå teksten gennem dens sproglige strukturer og mønstre. Her ses den litterære tekst primært som et sprogfænomen.</w:t>
            </w:r>
            <w:r w:rsidRPr="00D938DD">
              <w:rPr>
                <w:rFonts w:ascii="Arial" w:eastAsia="Times New Roman" w:hAnsi="Arial" w:cs="Arial"/>
                <w:sz w:val="20"/>
                <w:szCs w:val="20"/>
                <w:lang w:eastAsia="da-DK"/>
              </w:rPr>
              <w:br/>
              <w:t>Andre mønstre kan opspores i aktantmodellen, hvor udgangspunktet er et subjekt, der ønsker noget og handler for at opnå d</w:t>
            </w:r>
            <w:r>
              <w:rPr>
                <w:rFonts w:ascii="Arial" w:eastAsia="Times New Roman" w:hAnsi="Arial" w:cs="Arial"/>
                <w:sz w:val="20"/>
                <w:szCs w:val="20"/>
                <w:lang w:eastAsia="da-DK"/>
              </w:rPr>
              <w:t>et. Modellen afkoder hvordan. </w:t>
            </w:r>
          </w:p>
        </w:tc>
      </w:tr>
      <w:tr w:rsidR="00D938DD" w:rsidRPr="00D938DD" w:rsidTr="00D938DD">
        <w:tc>
          <w:tcPr>
            <w:tcW w:w="293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938DD" w:rsidRPr="00D938DD" w:rsidRDefault="00D938DD" w:rsidP="00D938DD">
            <w:pPr>
              <w:spacing w:after="240" w:line="240" w:lineRule="auto"/>
              <w:jc w:val="center"/>
              <w:rPr>
                <w:rFonts w:ascii="Arial" w:eastAsia="Times New Roman" w:hAnsi="Arial" w:cs="Arial"/>
                <w:b/>
                <w:sz w:val="32"/>
                <w:szCs w:val="20"/>
                <w:lang w:eastAsia="da-DK"/>
              </w:rPr>
            </w:pPr>
            <w:r w:rsidRPr="00D938DD">
              <w:rPr>
                <w:rFonts w:ascii="Arial" w:eastAsia="Times New Roman" w:hAnsi="Arial" w:cs="Arial"/>
                <w:b/>
                <w:sz w:val="32"/>
                <w:szCs w:val="20"/>
                <w:lang w:eastAsia="da-DK"/>
              </w:rPr>
              <w:t>Ideologikritisk læsning</w:t>
            </w:r>
          </w:p>
        </w:tc>
        <w:tc>
          <w:tcPr>
            <w:tcW w:w="6151"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938DD" w:rsidRPr="00D938DD" w:rsidRDefault="00D938DD" w:rsidP="00D938DD">
            <w:pPr>
              <w:spacing w:after="240" w:line="240" w:lineRule="auto"/>
              <w:rPr>
                <w:rFonts w:ascii="Arial" w:eastAsia="Times New Roman" w:hAnsi="Arial" w:cs="Arial"/>
                <w:sz w:val="20"/>
                <w:szCs w:val="20"/>
                <w:lang w:eastAsia="da-DK"/>
              </w:rPr>
            </w:pPr>
            <w:r w:rsidRPr="00D938DD">
              <w:rPr>
                <w:rFonts w:ascii="Arial" w:eastAsia="Times New Roman" w:hAnsi="Arial" w:cs="Arial"/>
                <w:sz w:val="20"/>
                <w:szCs w:val="20"/>
                <w:lang w:eastAsia="da-DK"/>
              </w:rPr>
              <w:t>Fokus på den opfattelse af samfundet, som teksten udtrykker, hvad enten den er bevidst om det eller ej. En ideologi er fx falsk, hvis den hævder, at social nød og klasseforskelle skyldes guddommeligt forsyn eller hviler på den enkeltes held og dygtighed alene. Enhver tekst afspejler sin tid og sit samfund, og en ideologikritisk analyse har som mål at afdække social uretfærdighed, at opbygge en sand klassebevidsthed og opfordre læseren til at ændre verden.</w:t>
            </w:r>
            <w:r w:rsidRPr="00D938DD">
              <w:rPr>
                <w:rFonts w:ascii="Arial" w:eastAsia="Times New Roman" w:hAnsi="Arial" w:cs="Arial"/>
                <w:sz w:val="20"/>
                <w:szCs w:val="20"/>
                <w:lang w:eastAsia="da-DK"/>
              </w:rPr>
              <w:br/>
              <w:t>Sml. Karl Marx (1818-83)</w:t>
            </w:r>
          </w:p>
          <w:p w:rsidR="00D938DD" w:rsidRPr="00D938DD" w:rsidRDefault="00D938DD" w:rsidP="00D938DD">
            <w:pPr>
              <w:spacing w:after="120" w:line="240" w:lineRule="auto"/>
              <w:rPr>
                <w:rFonts w:ascii="Arial" w:eastAsia="Times New Roman" w:hAnsi="Arial" w:cs="Arial"/>
                <w:sz w:val="20"/>
                <w:szCs w:val="20"/>
                <w:lang w:eastAsia="da-DK"/>
              </w:rPr>
            </w:pPr>
            <w:r w:rsidRPr="00D938DD">
              <w:rPr>
                <w:rFonts w:ascii="Arial" w:eastAsia="Times New Roman" w:hAnsi="Arial" w:cs="Arial"/>
                <w:sz w:val="20"/>
                <w:szCs w:val="20"/>
                <w:lang w:eastAsia="da-DK"/>
              </w:rPr>
              <w:t>En ideologikritisk analyse kan også være en indgang til sagprosatekster, fx til en afdækning af avisers bagvedliggende grundsyn (værdimæssigt og politisk ståsted) og dertil hørende menneskeopfattelse.</w:t>
            </w:r>
          </w:p>
        </w:tc>
      </w:tr>
    </w:tbl>
    <w:p w:rsidR="00B74047" w:rsidRPr="00D938DD" w:rsidRDefault="00D014B4"/>
    <w:sectPr w:rsidR="00B74047" w:rsidRPr="00D938D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8DD"/>
    <w:rsid w:val="00102E2A"/>
    <w:rsid w:val="00A81D28"/>
    <w:rsid w:val="00D014B4"/>
    <w:rsid w:val="00D938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6D41-A326-4A6F-A85C-40F5E65B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938DD"/>
    <w:rPr>
      <w:color w:val="0000FF"/>
      <w:u w:val="single"/>
    </w:rPr>
  </w:style>
  <w:style w:type="paragraph" w:styleId="NormalWeb">
    <w:name w:val="Normal (Web)"/>
    <w:basedOn w:val="Normal"/>
    <w:uiPriority w:val="99"/>
    <w:semiHidden/>
    <w:unhideWhenUsed/>
    <w:rsid w:val="00D938DD"/>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erer.aasg.dk/asgaf/Dansk/Emner/Freud/Psykoanalyse.htm" TargetMode="External"/><Relationship Id="rId4" Type="http://schemas.openxmlformats.org/officeDocument/2006/relationships/hyperlink" Target="http://laerer.aasg.dk/asgaf/Dansk/Emner/Freud/index.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Aamann Jensen</dc:creator>
  <cp:keywords/>
  <dc:description/>
  <cp:lastModifiedBy>Anders Aamann Jensen</cp:lastModifiedBy>
  <cp:revision>1</cp:revision>
  <dcterms:created xsi:type="dcterms:W3CDTF">2016-03-09T07:32:00Z</dcterms:created>
  <dcterms:modified xsi:type="dcterms:W3CDTF">2016-03-09T09:27:00Z</dcterms:modified>
</cp:coreProperties>
</file>